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60" w:after="40"/>
        <w:jc w:val="center"/>
      </w:pPr>
      <w:r>
        <w:rPr>
          <w:rFonts w:ascii="Times New Roman" w:hAnsi="Times New Roman" w:eastAsia="Times New Roman"/>
          <w:b/>
          <w:i w:val="0"/>
          <w:color w:val="14213D"/>
          <w:sz w:val="29"/>
        </w:rPr>
        <w:t>СОГЛАСИЕ НА СБОР И ОБРАБОТКУ ПЕРСОНАЛЬНЫХ ДАННЫХ</w:t>
      </w:r>
    </w:p>
    <w:p>
      <w:pPr>
        <w:spacing w:after="60"/>
        <w:jc w:val="center"/>
      </w:pPr>
      <w:r>
        <w:rPr>
          <w:rFonts w:ascii="Times New Roman" w:hAnsi="Times New Roman" w:eastAsia="Times New Roman"/>
          <w:b/>
          <w:i w:val="0"/>
          <w:color w:val="14213D"/>
          <w:sz w:val="27"/>
        </w:rPr>
        <w:t>РОЗИГӢ БА ҶАМЪОВАРӢ ВА КОРКАРДИ МАЪЛУМОТИ ШАХСӢ</w:t>
      </w:r>
    </w:p>
    <w:p>
      <w:pPr>
        <w:spacing w:after="140"/>
        <w:jc w:val="center"/>
      </w:pPr>
      <w:r>
        <w:rPr>
          <w:rFonts w:ascii="Times New Roman" w:hAnsi="Times New Roman" w:eastAsia="Times New Roman"/>
          <w:b/>
          <w:i w:val="0"/>
          <w:color w:val="FCA311"/>
          <w:sz w:val="19"/>
        </w:rPr>
        <w:t>Финальная редакция для пилотной версии 1.1 / Таҳрири ниҳоӣ барои нусхаи озмоишии 1.1</w:t>
      </w:r>
    </w:p>
    <w:tbl>
      <w:tblPr>
        <w:tblW w:type="dxa" w:w="10200"/>
        <w:jc w:val="center"/>
        <w:tblLayout w:type="fixed"/>
        <w:tblLook w:firstColumn="1" w:firstRow="1" w:lastColumn="0" w:lastRow="0" w:noHBand="0" w:noVBand="1" w:val="04A0"/>
        <w:tblBorders>
          <w:top w:val="single" w:sz="4" w:color="E5E5E5"/>
          <w:left w:val="single" w:sz="4" w:color="E5E5E5"/>
          <w:bottom w:val="single" w:sz="4" w:color="E5E5E5"/>
          <w:right w:val="single" w:sz="4" w:color="E5E5E5"/>
          <w:insideH w:val="single" w:sz="4" w:color="E5E5E5"/>
          <w:insideV w:val="single" w:sz="8" w:color="FCA311"/>
        </w:tblBorders>
      </w:tblPr>
      <w:tblGrid>
        <w:gridCol w:w="5100"/>
        <w:gridCol w:w="5100"/>
      </w:tblGrid>
      <w:tr>
        <w:trPr>
          <w:tblHeader w:val="true"/>
        </w:trPr>
        <w:tc>
          <w:tcPr>
            <w:tcW w:type="dxa" w:w="5100"/>
            <w:shd w:fill="F7F8FA"/>
            <w:tcMar>
              <w:top w:w="90" w:type="dxa"/>
              <w:start w:w="130" w:type="dxa"/>
              <w:bottom w:w="90" w:type="dxa"/>
              <w:end w:w="130" w:type="dxa"/>
            </w:tcMar>
          </w:tcPr>
          <w:p>
            <w:pPr>
              <w:spacing w:before="0" w:after="0" w:line="245" w:lineRule="auto"/>
              <w:jc w:val="left"/>
            </w:pPr>
            <w:r/>
            <w:r>
              <w:rPr>
                <w:rFonts w:ascii="Times New Roman" w:hAnsi="Times New Roman" w:eastAsia="Times New Roman"/>
                <w:b w:val="0"/>
                <w:i w:val="0"/>
                <w:color w:val="111111"/>
                <w:sz w:val="18"/>
              </w:rPr>
              <w:t>г. Душанбе</w:t>
              <w:br/>
              <w:t>Редакция от 26 августа 2026 года</w:t>
            </w:r>
          </w:p>
        </w:tc>
        <w:tc>
          <w:tcPr>
            <w:tcW w:type="dxa" w:w="5100"/>
            <w:shd w:fill="F7F8FA"/>
            <w:tcMar>
              <w:top w:w="90" w:type="dxa"/>
              <w:start w:w="130" w:type="dxa"/>
              <w:bottom w:w="90" w:type="dxa"/>
              <w:end w:w="130" w:type="dxa"/>
            </w:tcMar>
          </w:tcPr>
          <w:p>
            <w:pPr>
              <w:spacing w:before="0" w:after="0" w:line="245" w:lineRule="auto"/>
              <w:jc w:val="left"/>
            </w:pPr>
            <w:r/>
            <w:r>
              <w:rPr>
                <w:rFonts w:ascii="Times New Roman" w:hAnsi="Times New Roman" w:eastAsia="Times New Roman"/>
                <w:b w:val="0"/>
                <w:i w:val="0"/>
                <w:color w:val="111111"/>
                <w:sz w:val="18"/>
              </w:rPr>
              <w:t>ш. Душанбе</w:t>
              <w:br/>
              <w:t>Таҳрир аз 26 августи соли 2026</w:t>
            </w:r>
          </w:p>
        </w:tc>
      </w:tr>
    </w:tbl>
    <w:p>
      <w:pPr>
        <w:spacing w:after="80"/>
      </w:pPr>
    </w:p>
    <w:tbl>
      <w:tblPr>
        <w:tblW w:type="dxa" w:w="10200"/>
        <w:jc w:val="center"/>
        <w:tblLayout w:type="fixed"/>
        <w:tblLook w:firstColumn="1" w:firstRow="1" w:lastColumn="0" w:lastRow="0" w:noHBand="0" w:noVBand="1" w:val="04A0"/>
        <w:tblBorders>
          <w:top w:val="single" w:sz="4" w:color="E5E5E5"/>
          <w:left w:val="single" w:sz="4" w:color="E5E5E5"/>
          <w:bottom w:val="single" w:sz="4" w:color="E5E5E5"/>
          <w:right w:val="single" w:sz="4" w:color="E5E5E5"/>
          <w:insideH w:val="single" w:sz="4" w:color="E5E5E5"/>
          <w:insideV w:val="single" w:sz="8" w:color="FCA311"/>
        </w:tblBorders>
      </w:tblPr>
      <w:tblGrid>
        <w:gridCol w:w="5100"/>
        <w:gridCol w:w="5100"/>
      </w:tblGrid>
      <w:tr>
        <w:trPr>
          <w:tblHeader w:val="true"/>
        </w:trPr>
        <w:tc>
          <w:tcPr>
            <w:tcW w:type="dxa" w:w="5100"/>
            <w:shd w:fill="14213D"/>
            <w:tcMar>
              <w:top w:w="115" w:type="dxa"/>
              <w:start w:w="130" w:type="dxa"/>
              <w:bottom w:w="115" w:type="dxa"/>
              <w:end w:w="130" w:type="dxa"/>
            </w:tcMar>
          </w:tcPr>
          <w:p>
            <w:pPr>
              <w:spacing w:before="0" w:after="0" w:line="245" w:lineRule="auto"/>
              <w:jc w:val="center"/>
            </w:pPr>
            <w:r/>
            <w:r>
              <w:rPr>
                <w:rFonts w:ascii="Times New Roman" w:hAnsi="Times New Roman" w:eastAsia="Times New Roman"/>
                <w:b/>
                <w:i w:val="0"/>
                <w:color w:val="FFFFFF"/>
                <w:sz w:val="18"/>
              </w:rPr>
              <w:t>РУССКИЙ ЯЗЫК</w:t>
            </w:r>
          </w:p>
        </w:tc>
        <w:tc>
          <w:tcPr>
            <w:tcW w:type="dxa" w:w="5100"/>
            <w:shd w:fill="14213D"/>
            <w:tcMar>
              <w:top w:w="115" w:type="dxa"/>
              <w:start w:w="130" w:type="dxa"/>
              <w:bottom w:w="115" w:type="dxa"/>
              <w:end w:w="130" w:type="dxa"/>
            </w:tcMar>
          </w:tcPr>
          <w:p>
            <w:pPr>
              <w:spacing w:before="0" w:after="0" w:line="245" w:lineRule="auto"/>
              <w:jc w:val="center"/>
            </w:pPr>
            <w:r/>
            <w:r>
              <w:rPr>
                <w:rFonts w:ascii="Times New Roman" w:hAnsi="Times New Roman" w:eastAsia="Times New Roman"/>
                <w:b/>
                <w:i w:val="0"/>
                <w:color w:val="FFFFFF"/>
                <w:sz w:val="18"/>
              </w:rPr>
              <w:t>ЗАБОНИ ТОҶИКӢ</w:t>
            </w:r>
          </w:p>
        </w:tc>
      </w:tr>
      <w:tr>
        <w:trPr>
          <w:cantSplit/>
        </w:trPr>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Статус документа: финальная редакция для пилотной версии IMKONIYAT 1.1. IMKONIYAT является пилотным цифровым образовательным проектом; публичный запуск и полный набор функций ещё не завершены. Правовая документация продолжает уточняться по мере оформления проекта и развития Платформы. Официальный адрес: https://imkoniyat.org.</w:t>
            </w:r>
          </w:p>
        </w:tc>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Мақоми ҳуҷҷат: таҳрири ниҳоӣ барои нусхаи озмоишии IMKONIYAT 1.1. IMKONIYAT лоиҳаи озмоишии рақамии таълимӣ мебошад; оғози оммавӣ ва маҷмӯи пурраи вазифаҳо ҳанӯз анҷом наёфтаанд. Ҳуҷҷатҳои ҳуқуқӣ бо расмикунонии лоиҳа ва рушди Платформа минбаъд дақиқ карда мешаванд. Суроғаи расмӣ: https://imkoniyat.org.</w:t>
            </w:r>
          </w:p>
        </w:tc>
      </w:tr>
      <w:tr>
        <w:trPr>
          <w:cantSplit/>
        </w:trPr>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Согласие используется в пилоте только после указания в интерфейсе конкретного ответственного за обработку. До этого публичная регистрация не проводится. Маркетинг, изображение и голос подтверждаются отдельно.</w:t>
            </w:r>
          </w:p>
        </w:tc>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Розигӣ дар озмоиш танҳо пас аз нишон додани масъули мушаххаси коркард дар интерфейс истифода мешавад. То он вақт бақайдгирии оммавӣ гузаронда намешавад. Маркетинг, тасвир ва овоз алоҳида тасдиқ карда мешаванд.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1. СУБЪЕКТ И ОПЕРАТОР</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1. СУБЪЕКТ ВА ОПЕРАТОР</w:t>
            </w:r>
          </w:p>
        </w:tc>
      </w:tr>
      <w:tr>
        <w:trPr>
          <w:cantSplit/>
        </w:trPr>
        <w:tc>
          <w:tcPr>
            <w:tcW w:type="dxa" w:w="5100"/>
            <w:vAlign w:val="center"/>
            <w:tcMar>
              <w:top w:w="105" w:type="dxa"/>
              <w:start w:w="135" w:type="dxa"/>
              <w:bottom w:w="105" w:type="dxa"/>
              <w:end w:w="135" w:type="dxa"/>
            </w:tcMar>
          </w:tcPr>
          <w:p>
            <w:pPr>
              <w:spacing w:before="0" w:after="0" w:line="245" w:lineRule="auto"/>
              <w:jc w:val="left"/>
            </w:pPr>
            <w:r/>
            <w:r>
              <w:rPr>
                <w:rFonts w:ascii="Times New Roman" w:hAnsi="Times New Roman" w:eastAsia="Times New Roman"/>
                <w:b w:val="0"/>
                <w:i w:val="0"/>
                <w:color w:val="111111"/>
                <w:sz w:val="18"/>
              </w:rPr>
              <w:t>Ф.И.О. субъекта: __________________________</w:t>
              <w:br/>
              <w:t>Дата рождения: ____________________________</w:t>
              <w:br/>
              <w:t>Телефон/e-mail: ___________________________</w:t>
              <w:br/>
              <w:t>Учётная запись: ___________________________</w:t>
            </w:r>
          </w:p>
        </w:tc>
        <w:tc>
          <w:tcPr>
            <w:tcW w:type="dxa" w:w="5100"/>
            <w:vAlign w:val="center"/>
            <w:tcMar>
              <w:top w:w="105" w:type="dxa"/>
              <w:start w:w="135" w:type="dxa"/>
              <w:bottom w:w="105" w:type="dxa"/>
              <w:end w:w="135" w:type="dxa"/>
            </w:tcMar>
          </w:tcPr>
          <w:p>
            <w:pPr>
              <w:spacing w:before="0" w:after="0" w:line="245" w:lineRule="auto"/>
              <w:jc w:val="left"/>
            </w:pPr>
            <w:r/>
            <w:r>
              <w:rPr>
                <w:rFonts w:ascii="Times New Roman" w:hAnsi="Times New Roman" w:eastAsia="Times New Roman"/>
                <w:b w:val="0"/>
                <w:i w:val="0"/>
                <w:color w:val="111111"/>
                <w:sz w:val="18"/>
              </w:rPr>
              <w:t>Ному насаби субъект: ______________________</w:t>
              <w:br/>
              <w:t>Санаи таваллуд: __________________________</w:t>
              <w:br/>
              <w:t>Телефон/почта: ____________________________</w:t>
              <w:br/>
              <w:t>Ҳисоби корбарӣ: __________________________</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1.1. Я даю указанному при регистрации ответственному лицу проекта IMKONIYAT согласие на сбор и обработку данных на условиях Политики конфиденциальности. Официальный адрес проекта: https://imkoniyat.org.</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1.1. Ман ба шахси масъули лоиҳаи IMKONIYAT, ки ҳангоми бақайдгирӣ нишон дода мешавад, барои ҷамъоварӣ ва коркарди маълумот тибқи Сиёсати махфият розигӣ медиҳам. Суроғаи расмии лоиҳа: https://imkoniyat.org.</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2. ДАННЫЕ</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2. МАЪЛУМОТ</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2.1. Регистрационные и контактные данные; возраст; сведения профиля; история входов и настройки безопасности.</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2.1. Маълумоти бақайдгирӣ ва тамос; синну сол; маълумоти профил; таърихи воридшавӣ ва танзимоти амният.</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2.2. Данные обучения: курсы, уроки, ответы, тесты, оценки 0–5, задания, прогресс, ошибки, рекомендации и обращения в поддержку.</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2.2. Маълумоти таҳсил: курсҳо, дарсҳо, ҷавобҳо, тестҳо, баҳои 0–5, супоришҳо, пешрафт, хатоҳо, тавсияҳо ва муроҷиатҳо ба дастгирӣ.</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2.3. Технические сведения: IP-адрес, устройство, необходимые cookie и журналы безопасности; сведения об оплате — только после законного запуска платной функции.</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2.3. Маълумоти техникӣ: IP-суроға, дастгоҳ, cookie-и зарурӣ ва журналҳои амният; маълумоти пардохт танҳо пас аз оғози қонунии вазифаи пулакӣ.</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3. ЦЕЛИ И ДЕЙСТВИЯ</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3. МАҚСАДҲО ВА АМАЛҲО</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3.1. Цели: регистрация, предоставление обучения, тестирование, оценивание, сохранение прогресса, оплата, поддержка, безопасность, отчёт законному представителю и исполнение требований закона.</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3.1. Мақсадҳо: бақайдгирӣ, пешниҳоди таҳсил, тестгузаронӣ, баҳогузорӣ, нигоҳдории пешрафт, пардохт, дастгирӣ, амният, ҳисобот ба намояндаи қонунӣ ва иҷрои талаботи қонун.</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3.2. Разрешённые действия: сбор, запись, систематизация, хранение, уточнение, использование, передача уполномоченным обработчикам, обезличивание, блокирование и удаление.</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3.2. Амалҳои иҷозатдодашуда: ҷамъоварӣ, сабт, низомноккунӣ, нигоҳдорӣ, дақиқсозӣ, истифода, интиқол ба коркардкунандагони ваколатдор, беномкунӣ, бастан ва несткунӣ.</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4. ПОЛУЧАТЕЛИ И СРОК</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4. ҚАБУЛКУНАНДАГОН ВА МУҲЛАТ</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4.1. Данные могут передаваться только фактически подключённым и раскрытым поставщикам хостинга, связи, резервного копирования и поддержки в необходимом объёме; платёжным поставщикам — после запуска оплаты.</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4.1. Маълумот танҳо ба таъминкунандагони воқеан пайвастшуда ва ошкоршудаи хостинг, алоқа, нусхаи эҳтиётӣ ва дастгирӣ дар ҳаҷми зарурӣ дода мешавад; ба таъминкунандагони пардохтӣ пас аз оғози пардохт.</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4.2. Согласие действует до достижения целей обработки или его отзыва, если дальнейшая обработка не требуется по закону или договору.</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4.2. Розигӣ то расидан ба мақсадҳои коркард ё бозпас гирифтани он амал мекунад, агар коркарди минбаъда тибқи қонун ё шартнома зарур набошад.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5. ПРАВА И ОТЗЫВ</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5. ҲУҚУҚҲО ВА БОЗПАСГИРӢ</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5.1. Я вправе запросить сведения, исправление, ограничение или удаление данных и отозвать согласие обращением по контактам Политики конфиденциальности.</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5.1. Ман ҳуқуқ дорам маълумот, ислоҳ, маҳдудсозӣ ё несткунии маълумотро талаб карда, бо муроҷиат ба тамосҳои Сиёсати махфият розигиро бозпас гирам.</w:t>
            </w:r>
          </w:p>
        </w:tc>
      </w:tr>
      <w:tr>
        <w:trPr>
          <w:cantSplit/>
        </w:trPr>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5.2. Отзыв не влияет на законность обработки, выполненной до его получения, и может привести к невозможности предоставить функции, для которых данные объективно необходимы.</w:t>
            </w:r>
          </w:p>
        </w:tc>
        <w:tc>
          <w:tcPr>
            <w:tcW w:type="dxa" w:w="5100"/>
            <w:vAlign w:val="center"/>
            <w:tcMar>
              <w:top w:w="105" w:type="dxa"/>
              <w:start w:w="135" w:type="dxa"/>
              <w:bottom w:w="105" w:type="dxa"/>
              <w:end w:w="135" w:type="dxa"/>
            </w:tcMar>
          </w:tcPr>
          <w:p>
            <w:pPr>
              <w:spacing w:before="0" w:after="0" w:line="245" w:lineRule="auto"/>
              <w:jc w:val="both"/>
            </w:pPr>
            <w:r/>
            <w:r>
              <w:rPr>
                <w:rFonts w:ascii="Times New Roman" w:hAnsi="Times New Roman" w:eastAsia="Times New Roman"/>
                <w:b w:val="0"/>
                <w:i w:val="0"/>
                <w:color w:val="111111"/>
                <w:sz w:val="18"/>
              </w:rPr>
              <w:t>5.2. Бозпасгирӣ ба қонунияти коркарди то гирифтани он анҷомшуда таъсир намерасонад ва метавонад пешниҳоди вазифаҳоеро, ки маълумот барои онҳо воқеан зарур аст, номумкин созад.</w:t>
            </w:r>
          </w:p>
        </w:tc>
      </w:tr>
      <w:tr>
        <w:trPr>
          <w:cantSplit/>
        </w:trPr>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6. ПОДТВЕРЖДЕНИЕ</w:t>
            </w:r>
          </w:p>
        </w:tc>
        <w:tc>
          <w:tcPr>
            <w:tcW w:type="dxa" w:w="5100"/>
            <w:vAlign w:val="center"/>
            <w:tcMar>
              <w:top w:w="105" w:type="dxa"/>
              <w:start w:w="135" w:type="dxa"/>
              <w:bottom w:w="105" w:type="dxa"/>
              <w:end w:w="135" w:type="dxa"/>
            </w:tcMar>
            <w:shd w:fill="14213D"/>
          </w:tcPr>
          <w:p>
            <w:pPr>
              <w:spacing w:before="0" w:after="0" w:line="245" w:lineRule="auto"/>
              <w:jc w:val="left"/>
            </w:pPr>
            <w:r/>
            <w:r>
              <w:rPr>
                <w:rFonts w:ascii="Times New Roman" w:hAnsi="Times New Roman" w:eastAsia="Times New Roman"/>
                <w:b/>
                <w:i w:val="0"/>
                <w:color w:val="FFFFFF"/>
                <w:sz w:val="20"/>
              </w:rPr>
              <w:t>6. ТАСДИҚ</w:t>
            </w:r>
          </w:p>
        </w:tc>
      </w:tr>
      <w:tr>
        <w:trPr>
          <w:cantSplit/>
        </w:trPr>
        <w:tc>
          <w:tcPr>
            <w:tcW w:type="dxa" w:w="5100"/>
            <w:vAlign w:val="center"/>
            <w:tcMar>
              <w:top w:w="105" w:type="dxa"/>
              <w:start w:w="135" w:type="dxa"/>
              <w:bottom w:w="105" w:type="dxa"/>
              <w:end w:w="135" w:type="dxa"/>
            </w:tcMar>
          </w:tcPr>
          <w:p>
            <w:pPr>
              <w:spacing w:before="0" w:after="0" w:line="245" w:lineRule="auto"/>
              <w:jc w:val="left"/>
            </w:pPr>
            <w:r/>
            <w:r>
              <w:rPr>
                <w:rFonts w:ascii="Times New Roman" w:hAnsi="Times New Roman" w:eastAsia="Times New Roman"/>
                <w:b w:val="0"/>
                <w:i w:val="0"/>
                <w:color w:val="111111"/>
                <w:sz w:val="18"/>
              </w:rPr>
              <w:t>Дата и время электронного согласия: ______________</w:t>
              <w:br/>
              <w:t>Версия документа: ______________________________</w:t>
              <w:br/>
              <w:t>Идентификатор аккаунта/согласия: _______________</w:t>
              <w:br/>
              <w:t>Подпись при бумажном оформлении: _______________</w:t>
            </w:r>
          </w:p>
        </w:tc>
        <w:tc>
          <w:tcPr>
            <w:tcW w:type="dxa" w:w="5100"/>
            <w:vAlign w:val="center"/>
            <w:tcMar>
              <w:top w:w="105" w:type="dxa"/>
              <w:start w:w="135" w:type="dxa"/>
              <w:bottom w:w="105" w:type="dxa"/>
              <w:end w:w="135" w:type="dxa"/>
            </w:tcMar>
          </w:tcPr>
          <w:p>
            <w:pPr>
              <w:spacing w:before="0" w:after="0" w:line="245" w:lineRule="auto"/>
              <w:jc w:val="left"/>
            </w:pPr>
            <w:r/>
            <w:r>
              <w:rPr>
                <w:rFonts w:ascii="Times New Roman" w:hAnsi="Times New Roman" w:eastAsia="Times New Roman"/>
                <w:b w:val="0"/>
                <w:i w:val="0"/>
                <w:color w:val="111111"/>
                <w:sz w:val="18"/>
              </w:rPr>
              <w:t>Сана ва вақти розигии электронӣ: ______________</w:t>
              <w:br/>
              <w:t>Нусхаи ҳуҷҷат: ________________________________</w:t>
              <w:br/>
              <w:t>Шиносаи аккаунт/розигӣ: _______________________</w:t>
              <w:br/>
              <w:t>Имзо ҳангоми шакли коғазӣ: ____________________</w:t>
            </w:r>
          </w:p>
        </w:tc>
      </w:tr>
      <w:tr>
        <w:trPr>
          <w:cantSplit/>
        </w:trPr>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Правовая основа: применимое законодательство Республики Таджикистан, включая Гражданский кодекс и законы «О защите прав потребителей», «Об электронной торговле», «Об электронном документе и электронной подписи», «О защите персональных данных», «Об авторском праве и смежных правах», «О защите прав ребёнка» и «Об образовании». Перед публичным запуском отдельно проверяются регистрационный статус проекта, требования к лицензированию образовательной деятельности и обязательные процедуры защиты персональных данных.</w:t>
            </w:r>
          </w:p>
        </w:tc>
        <w:tc>
          <w:tcPr>
            <w:tcW w:type="dxa" w:w="5100"/>
            <w:vAlign w:val="center"/>
            <w:tcMar>
              <w:top w:w="105" w:type="dxa"/>
              <w:start w:w="135" w:type="dxa"/>
              <w:bottom w:w="105" w:type="dxa"/>
              <w:end w:w="135" w:type="dxa"/>
            </w:tcMar>
            <w:shd w:fill="FFF7E6"/>
          </w:tcPr>
          <w:p>
            <w:pPr>
              <w:spacing w:before="0" w:after="0" w:line="245" w:lineRule="auto"/>
              <w:jc w:val="both"/>
            </w:pPr>
            <w:r/>
            <w:r>
              <w:rPr>
                <w:rFonts w:ascii="Times New Roman" w:hAnsi="Times New Roman" w:eastAsia="Times New Roman"/>
                <w:b/>
                <w:i w:val="0"/>
                <w:color w:val="14213D"/>
                <w:sz w:val="18"/>
              </w:rPr>
              <w:t>Асоси ҳуқуқӣ: қонунгузории татбиқшавандаи Ҷумҳурии Тоҷикистон, аз ҷумла Кодекси гражданӣ ва қонунҳо «Дар бораи ҳимояи ҳуқуқи истеъмолкунандагон», «Дар бораи савдои электронӣ», «Дар бораи ҳуҷҷати электронӣ ва имзои электронӣ», «Дар бораи ҳифзи маълумоти шахсӣ», «Дар бораи ҳуқуқи муаллиф ва ҳуқуқҳои вобаста ба он», «Дар бораи ҳифзи ҳуқуқҳои кӯдак» ва «Дар бораи маориф». Пеш аз оғози оммавӣ мақоми бақайдгирии лоиҳа, талаботи иҷозатномадиҳии фаъолияти таълимӣ ва расмиёти ҳатмии ҳифзи маълумоти шахсӣ алоҳида санҷида мешаванд.</w:t>
            </w:r>
          </w:p>
        </w:tc>
      </w:tr>
    </w:tbl>
    <w:sectPr w:rsidR="00FC693F" w:rsidRPr="0006063C" w:rsidSect="00034616">
      <w:headerReference w:type="default" r:id="rId9"/>
      <w:footerReference w:type="default" r:id="rId10"/>
      <w:pgSz w:w="11906" w:h="16838"/>
      <w:pgMar w:top="822" w:right="765" w:bottom="822" w:left="765" w:header="369" w:footer="36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Times New Roman" w:hAnsi="Times New Roman" w:eastAsia="Times New Roman"/>
        <w:b w:val="0"/>
        <w:i w:val="0"/>
        <w:color w:val="14213D"/>
        <w:sz w:val="16"/>
      </w:rPr>
      <w:t xml:space="preserve">IMKONIYAT  •  Страница / Саҳифа </w:t>
    </w:r>
    <w:r>
      <w:fldChar w:fldCharType="begin"/>
      <w:instrText xml:space="preserve">PAGE</w:instrText>
      <w:fldChar w:fldCharType="separate"/>
      <w:t>1</w:t>
      <w:fldChar w:fldCharType="end"/>
    </w:r>
    <w:r>
      <w:rPr>
        <w:rFonts w:ascii="Times New Roman" w:hAnsi="Times New Roman" w:eastAsia="Times New Roman"/>
        <w:b w:val="0"/>
        <w:i w:val="0"/>
        <w:color w:val="14213D"/>
        <w:sz w:val="16"/>
      </w:rPr>
      <w:t xml:space="preserve"> из / аз </w:t>
    </w:r>
    <w:r>
      <w:fldChar w:fldCharType="begin"/>
      <w:instrText xml:space="preserve">NUMPAGES</w:instrText>
      <w:fldChar w:fldCharType="separate"/>
      <w:t>1</w: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60"/>
      <w:jc w:val="right"/>
      <w:pBdr>
        <w:bottom w:val="single" w:sz="10" w:space="4" w:color="FCA311"/>
      </w:pBdr>
    </w:pPr>
    <w:r>
      <w:rPr>
        <w:rFonts w:ascii="Times New Roman" w:hAnsi="Times New Roman" w:eastAsia="Times New Roman"/>
        <w:b/>
        <w:i w:val="0"/>
        <w:color w:val="14213D"/>
        <w:sz w:val="17"/>
      </w:rPr>
      <w:t>IMKONIYAT  |  Юридические документы / Ҳуҷҷатҳои ҳуқуқӣ</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Times New Roman" w:hAnsi="Times New Roman"/>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IMKONIYAT — СОГЛАСИЕ НА СБОР И ОБРАБОТКУ ПЕРСОНАЛЬНЫХ ДАННЫХ / РОЗИГӢ БА ҶАМЪОВАРӢ ВА КОРКАРДИ МАЪЛУМОТИ ШАХСӢ</dc:title>
  <dc:subject>Финальная двуязычная редакция для пилотной версии IMKONIYAT 1.1</dc:subject>
  <dc:creator>IMKONIYAT</dc:creator>
  <cp:keywords/>
  <dc:description>generated by python-docx</dc:description>
  <cp:lastModifiedBy/>
  <cp:revision>1</cp:revision>
  <dcterms:created xsi:type="dcterms:W3CDTF">2013-12-23T23:15:00Z</dcterms:created>
  <dcterms:modified xsi:type="dcterms:W3CDTF">2013-12-23T23:15:00Z</dcterms:modified>
  <cp:category/>
</cp:coreProperties>
</file>