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160" w:after="40"/>
        <w:jc w:val="center"/>
      </w:pPr>
      <w:r>
        <w:rPr>
          <w:rFonts w:ascii="Times New Roman" w:hAnsi="Times New Roman" w:eastAsia="Times New Roman"/>
          <w:b/>
          <w:i w:val="0"/>
          <w:color w:val="14213D"/>
          <w:sz w:val="29"/>
        </w:rPr>
        <w:t>СОГЛАСИЕ НА ИСПОЛЬЗОВАНИЕ ИЗОБРАЖЕНИЯ И ГОЛОСА</w:t>
      </w:r>
    </w:p>
    <w:p>
      <w:pPr>
        <w:spacing w:after="60"/>
        <w:jc w:val="center"/>
      </w:pPr>
      <w:r>
        <w:rPr>
          <w:rFonts w:ascii="Times New Roman" w:hAnsi="Times New Roman" w:eastAsia="Times New Roman"/>
          <w:b/>
          <w:i w:val="0"/>
          <w:color w:val="14213D"/>
          <w:sz w:val="27"/>
        </w:rPr>
        <w:t>РОЗИГӢ БА ИСТИФОДАИ ТАСВИР ВА ОВОЗ</w:t>
      </w:r>
    </w:p>
    <w:p>
      <w:pPr>
        <w:spacing w:after="140"/>
        <w:jc w:val="center"/>
      </w:pPr>
      <w:r>
        <w:rPr>
          <w:rFonts w:ascii="Times New Roman" w:hAnsi="Times New Roman" w:eastAsia="Times New Roman"/>
          <w:b/>
          <w:i w:val="0"/>
          <w:color w:val="FCA311"/>
          <w:sz w:val="19"/>
        </w:rPr>
        <w:t>Финальная редакция для пилотной версии 1.1 / Таҳрири ниҳоӣ барои нусхаи озмоишии 1.1</w:t>
      </w:r>
    </w:p>
    <w:tbl>
      <w:tblPr>
        <w:tblW w:type="dxa" w:w="10200"/>
        <w:jc w:val="center"/>
        <w:tblLayout w:type="fixed"/>
        <w:tblLook w:firstColumn="1" w:firstRow="1" w:lastColumn="0" w:lastRow="0" w:noHBand="0" w:noVBand="1" w:val="04A0"/>
        <w:tblBorders>
          <w:top w:val="single" w:sz="4" w:color="E5E5E5"/>
          <w:left w:val="single" w:sz="4" w:color="E5E5E5"/>
          <w:bottom w:val="single" w:sz="4" w:color="E5E5E5"/>
          <w:right w:val="single" w:sz="4" w:color="E5E5E5"/>
          <w:insideH w:val="single" w:sz="4" w:color="E5E5E5"/>
          <w:insideV w:val="single" w:sz="8" w:color="FCA311"/>
        </w:tblBorders>
      </w:tblPr>
      <w:tblGrid>
        <w:gridCol w:w="5100"/>
        <w:gridCol w:w="5100"/>
      </w:tblGrid>
      <w:tr>
        <w:trPr>
          <w:tblHeader w:val="true"/>
        </w:trPr>
        <w:tc>
          <w:tcPr>
            <w:tcW w:type="dxa" w:w="5100"/>
            <w:shd w:fill="F7F8FA"/>
            <w:tcMar>
              <w:top w:w="90" w:type="dxa"/>
              <w:start w:w="130" w:type="dxa"/>
              <w:bottom w:w="90" w:type="dxa"/>
              <w:end w:w="130" w:type="dxa"/>
            </w:tcMar>
          </w:tcPr>
          <w:p>
            <w:pPr>
              <w:spacing w:before="0" w:after="0" w:line="245" w:lineRule="auto"/>
              <w:jc w:val="left"/>
            </w:pPr>
            <w:r/>
            <w:r>
              <w:rPr>
                <w:rFonts w:ascii="Times New Roman" w:hAnsi="Times New Roman" w:eastAsia="Times New Roman"/>
                <w:b w:val="0"/>
                <w:i w:val="0"/>
                <w:color w:val="111111"/>
                <w:sz w:val="18"/>
              </w:rPr>
              <w:t>г. Душанбе</w:t>
              <w:br/>
              <w:t>Редакция от 26 августа 2026 года</w:t>
            </w:r>
          </w:p>
        </w:tc>
        <w:tc>
          <w:tcPr>
            <w:tcW w:type="dxa" w:w="5100"/>
            <w:shd w:fill="F7F8FA"/>
            <w:tcMar>
              <w:top w:w="90" w:type="dxa"/>
              <w:start w:w="130" w:type="dxa"/>
              <w:bottom w:w="90" w:type="dxa"/>
              <w:end w:w="130" w:type="dxa"/>
            </w:tcMar>
          </w:tcPr>
          <w:p>
            <w:pPr>
              <w:spacing w:before="0" w:after="0" w:line="245" w:lineRule="auto"/>
              <w:jc w:val="left"/>
            </w:pPr>
            <w:r/>
            <w:r>
              <w:rPr>
                <w:rFonts w:ascii="Times New Roman" w:hAnsi="Times New Roman" w:eastAsia="Times New Roman"/>
                <w:b w:val="0"/>
                <w:i w:val="0"/>
                <w:color w:val="111111"/>
                <w:sz w:val="18"/>
              </w:rPr>
              <w:t>ш. Душанбе</w:t>
              <w:br/>
              <w:t>Таҳрир аз 26 августи соли 2026</w:t>
            </w:r>
          </w:p>
        </w:tc>
      </w:tr>
    </w:tbl>
    <w:p>
      <w:pPr>
        <w:spacing w:after="80"/>
      </w:pPr>
    </w:p>
    <w:tbl>
      <w:tblPr>
        <w:tblW w:type="dxa" w:w="10200"/>
        <w:jc w:val="center"/>
        <w:tblLayout w:type="fixed"/>
        <w:tblLook w:firstColumn="1" w:firstRow="1" w:lastColumn="0" w:lastRow="0" w:noHBand="0" w:noVBand="1" w:val="04A0"/>
        <w:tblBorders>
          <w:top w:val="single" w:sz="4" w:color="E5E5E5"/>
          <w:left w:val="single" w:sz="4" w:color="E5E5E5"/>
          <w:bottom w:val="single" w:sz="4" w:color="E5E5E5"/>
          <w:right w:val="single" w:sz="4" w:color="E5E5E5"/>
          <w:insideH w:val="single" w:sz="4" w:color="E5E5E5"/>
          <w:insideV w:val="single" w:sz="8" w:color="FCA311"/>
        </w:tblBorders>
      </w:tblPr>
      <w:tblGrid>
        <w:gridCol w:w="5100"/>
        <w:gridCol w:w="5100"/>
      </w:tblGrid>
      <w:tr>
        <w:trPr>
          <w:tblHeader w:val="true"/>
        </w:trPr>
        <w:tc>
          <w:tcPr>
            <w:tcW w:type="dxa" w:w="5100"/>
            <w:shd w:fill="14213D"/>
            <w:tcMar>
              <w:top w:w="115" w:type="dxa"/>
              <w:start w:w="130" w:type="dxa"/>
              <w:bottom w:w="115" w:type="dxa"/>
              <w:end w:w="130" w:type="dxa"/>
            </w:tcMar>
          </w:tcPr>
          <w:p>
            <w:pPr>
              <w:spacing w:before="0" w:after="0" w:line="245" w:lineRule="auto"/>
              <w:jc w:val="center"/>
            </w:pPr>
            <w:r/>
            <w:r>
              <w:rPr>
                <w:rFonts w:ascii="Times New Roman" w:hAnsi="Times New Roman" w:eastAsia="Times New Roman"/>
                <w:b/>
                <w:i w:val="0"/>
                <w:color w:val="FFFFFF"/>
                <w:sz w:val="18"/>
              </w:rPr>
              <w:t>РУССКИЙ ЯЗЫК</w:t>
            </w:r>
          </w:p>
        </w:tc>
        <w:tc>
          <w:tcPr>
            <w:tcW w:type="dxa" w:w="5100"/>
            <w:shd w:fill="14213D"/>
            <w:tcMar>
              <w:top w:w="115" w:type="dxa"/>
              <w:start w:w="130" w:type="dxa"/>
              <w:bottom w:w="115" w:type="dxa"/>
              <w:end w:w="130" w:type="dxa"/>
            </w:tcMar>
          </w:tcPr>
          <w:p>
            <w:pPr>
              <w:spacing w:before="0" w:after="0" w:line="245" w:lineRule="auto"/>
              <w:jc w:val="center"/>
            </w:pPr>
            <w:r/>
            <w:r>
              <w:rPr>
                <w:rFonts w:ascii="Times New Roman" w:hAnsi="Times New Roman" w:eastAsia="Times New Roman"/>
                <w:b/>
                <w:i w:val="0"/>
                <w:color w:val="FFFFFF"/>
                <w:sz w:val="18"/>
              </w:rPr>
              <w:t>ЗАБОНИ ТОҶИКӢ</w:t>
            </w:r>
          </w:p>
        </w:tc>
      </w:tr>
      <w:tr>
        <w:trPr>
          <w:cantSplit/>
        </w:trPr>
        <w:tc>
          <w:tcPr>
            <w:tcW w:type="dxa" w:w="5100"/>
            <w:vAlign w:val="center"/>
            <w:tcMar>
              <w:top w:w="105" w:type="dxa"/>
              <w:start w:w="135" w:type="dxa"/>
              <w:bottom w:w="105" w:type="dxa"/>
              <w:end w:w="135" w:type="dxa"/>
            </w:tcMar>
            <w:shd w:fill="FFF7E6"/>
          </w:tcPr>
          <w:p>
            <w:pPr>
              <w:spacing w:before="0" w:after="0" w:line="245" w:lineRule="auto"/>
              <w:jc w:val="both"/>
            </w:pPr>
            <w:r/>
            <w:r>
              <w:rPr>
                <w:rFonts w:ascii="Times New Roman" w:hAnsi="Times New Roman" w:eastAsia="Times New Roman"/>
                <w:b/>
                <w:i w:val="0"/>
                <w:color w:val="14213D"/>
                <w:sz w:val="18"/>
              </w:rPr>
              <w:t>Статус документа: финальная редакция для пилотной версии IMKONIYAT 1.1. IMKONIYAT является пилотным цифровым образовательным проектом; публичный запуск и полный набор функций ещё не завершены. Правовая документация продолжает уточняться по мере оформления проекта и развития Платформы. Официальный адрес: https://imkoniyat.org.</w:t>
            </w:r>
          </w:p>
        </w:tc>
        <w:tc>
          <w:tcPr>
            <w:tcW w:type="dxa" w:w="5100"/>
            <w:vAlign w:val="center"/>
            <w:tcMar>
              <w:top w:w="105" w:type="dxa"/>
              <w:start w:w="135" w:type="dxa"/>
              <w:bottom w:w="105" w:type="dxa"/>
              <w:end w:w="135" w:type="dxa"/>
            </w:tcMar>
            <w:shd w:fill="FFF7E6"/>
          </w:tcPr>
          <w:p>
            <w:pPr>
              <w:spacing w:before="0" w:after="0" w:line="245" w:lineRule="auto"/>
              <w:jc w:val="both"/>
            </w:pPr>
            <w:r/>
            <w:r>
              <w:rPr>
                <w:rFonts w:ascii="Times New Roman" w:hAnsi="Times New Roman" w:eastAsia="Times New Roman"/>
                <w:b/>
                <w:i w:val="0"/>
                <w:color w:val="14213D"/>
                <w:sz w:val="18"/>
              </w:rPr>
              <w:t>Мақоми ҳуҷҷат: таҳрири ниҳоӣ барои нусхаи озмоишии IMKONIYAT 1.1. IMKONIYAT лоиҳаи озмоишии рақамии таълимӣ мебошад; оғози оммавӣ ва маҷмӯи пурраи вазифаҳо ҳанӯз анҷом наёфтаанд. Ҳуҷҷатҳои ҳуқуқӣ бо расмикунонии лоиҳа ва рушди Платформа минбаъд дақиқ карда мешаванд. Суроғаи расмӣ: https://imkoniyat.org.</w:t>
            </w:r>
          </w:p>
        </w:tc>
      </w:tr>
      <w:tr>
        <w:trPr>
          <w:cantSplit/>
        </w:trPr>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1. СВЕДЕНИЯ О ЛИЦЕ</w:t>
            </w:r>
          </w:p>
        </w:tc>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1. МАЪЛУМОТ ДАР БОРАИ ШАХС</w:t>
            </w:r>
          </w:p>
        </w:tc>
      </w:tr>
      <w:tr>
        <w:trPr>
          <w:cantSplit/>
        </w:trPr>
        <w:tc>
          <w:tcPr>
            <w:tcW w:type="dxa" w:w="5100"/>
            <w:vAlign w:val="center"/>
            <w:tcMar>
              <w:top w:w="105" w:type="dxa"/>
              <w:start w:w="135" w:type="dxa"/>
              <w:bottom w:w="105" w:type="dxa"/>
              <w:end w:w="135" w:type="dxa"/>
            </w:tcMar>
          </w:tcPr>
          <w:p>
            <w:pPr>
              <w:spacing w:before="0" w:after="0" w:line="245" w:lineRule="auto"/>
              <w:jc w:val="left"/>
            </w:pPr>
            <w:r/>
            <w:r>
              <w:rPr>
                <w:rFonts w:ascii="Times New Roman" w:hAnsi="Times New Roman" w:eastAsia="Times New Roman"/>
                <w:b w:val="0"/>
                <w:i w:val="0"/>
                <w:color w:val="111111"/>
                <w:sz w:val="18"/>
              </w:rPr>
              <w:t>Ф.И.О.: __________________________________</w:t>
              <w:br/>
              <w:t>Дата рождения: ____________________________</w:t>
              <w:br/>
              <w:t>Телефон/e-mail: ___________________________</w:t>
              <w:br/>
              <w:t>Статус: ☐ преподаватель ☐ автор ☐ сотрудник ☐ участник ☐ другое ______</w:t>
            </w:r>
          </w:p>
        </w:tc>
        <w:tc>
          <w:tcPr>
            <w:tcW w:type="dxa" w:w="5100"/>
            <w:vAlign w:val="center"/>
            <w:tcMar>
              <w:top w:w="105" w:type="dxa"/>
              <w:start w:w="135" w:type="dxa"/>
              <w:bottom w:w="105" w:type="dxa"/>
              <w:end w:w="135" w:type="dxa"/>
            </w:tcMar>
          </w:tcPr>
          <w:p>
            <w:pPr>
              <w:spacing w:before="0" w:after="0" w:line="245" w:lineRule="auto"/>
              <w:jc w:val="left"/>
            </w:pPr>
            <w:r/>
            <w:r>
              <w:rPr>
                <w:rFonts w:ascii="Times New Roman" w:hAnsi="Times New Roman" w:eastAsia="Times New Roman"/>
                <w:b w:val="0"/>
                <w:i w:val="0"/>
                <w:color w:val="111111"/>
                <w:sz w:val="18"/>
              </w:rPr>
              <w:t>Ному насаб: _______________________________</w:t>
              <w:br/>
              <w:t>Санаи таваллуд: __________________________</w:t>
              <w:br/>
              <w:t>Телефон/почта: ____________________________</w:t>
              <w:br/>
              <w:t>Мақом: ☐ омӯзгор ☐ муаллиф ☐ корманд ☐ иштирокчӣ ☐ дигар ______</w:t>
            </w:r>
          </w:p>
        </w:tc>
      </w:tr>
      <w:tr>
        <w:trPr>
          <w:cantSplit/>
        </w:trPr>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2. ОБЪЕКТЫ СОГЛАСИЯ</w:t>
            </w:r>
          </w:p>
        </w:tc>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2. ОБЪЕКТҲОИ РОЗИГӢ</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2.1. Я разрешаю IMKONIYAT осуществлять фото-, аудио- и видеозапись моего изображения, голоса, выступления, имени, должности и биографической справки в согласованном объёме.</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2.1. Ман ба IMKONIYAT иҷозат медиҳам, ки тасвир, овоз, баромад, ном, вазифа ва маълумоти мухтасари тарҷумаи ҳоли маро дар ҳаҷми мувофиқашуда аксбардорӣ, сабти аудиоӣ ва видеоӣ намояд.</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2.2. Материалы/мероприятие/курс: ______________________________________________.</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2.2. Мавод/чорабинӣ/курс: ______________________________________________.</w:t>
            </w:r>
          </w:p>
        </w:tc>
      </w:tr>
      <w:tr>
        <w:trPr>
          <w:cantSplit/>
        </w:trPr>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3. СПОСОБЫ И ЦЕЛИ ИСПОЛЬЗОВАНИЯ</w:t>
            </w:r>
          </w:p>
        </w:tc>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3. УСУЛҲО ВА МАҚСАДҲОИ ИСТИФОДА</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3.1. Разрешаются монтаж, обрезка, цветокоррекция, субтитры, перевод, озвучивание, графическое оформление и адаптация формата без искажения смысла и достоинства лица.</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3.1. Монтаж, буридан, ислоҳи ранг, зернавис, тарҷума, садогузорӣ, ороиши графикӣ ва мутобиқ кардани формат бе таҳрифи маъно ва шаъну шарафи шахс иҷозат дода мешавад.</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3.2. Цели: размещение в курсе и на Платформе, методические материалы, анонсы, отчёты, презентации, СМИ и официальные социальные сети IMKONIYAT.</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3.2. Мақсадҳо: ҷойгиркунӣ дар курс ва Платформа, маводи методӣ, эълонҳо, ҳисоботҳо, муаррифӣ, ВАО ва шабакаҳои иҷтимоии расмии IMKONIYAT.</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3.3. Основной канал публикации: https://imkoniyat.org. Дополнительно материалы могут размещаться в официальных социальных сетях IMKONIYAT и согласованных партнёрских публикациях только для указанных целей.</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3.3. Канали асосии нашр: https://imkoniyat.org. Илова бар ин, мавод метавонад дар шабакаҳои иҷтимоии расмии IMKONIYAT ва нашрияҳои мувофиқашудаи шарикӣ танҳо барои мақсадҳои зикршуда ҷойгир карда шавад.</w:t>
            </w:r>
          </w:p>
        </w:tc>
      </w:tr>
      <w:tr>
        <w:trPr>
          <w:cantSplit/>
        </w:trPr>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4. ПРАВА И ОГРАНИЧЕНИЯ</w:t>
            </w:r>
          </w:p>
        </w:tc>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4. ҲУҚУҚҲО ВА МАҲДУДИЯТҲО</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4.1. IMKONIYAT не вправе использовать материалы в унижающем, ложном, дискриминационном, незаконном или не связанном с заявленными целями контексте.</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4.1. IMKONIYAT ҳуқуқ надорад маводро дар заминаи таҳқиромез, бардурӯғ, табъизӣ, ғайриқонунӣ ё ба мақсадҳои эълоншуда иртиботнадошта истифода барад.</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4.2. Передача техническим подрядчикам, платформам публикации и партнёрам допускается только для указанных целей и в необходимом объёме.</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4.2. Додан ба пудратчиёни техникӣ, платформаҳои нашр ва шарикон танҳо барои мақсадҳои зикршуда ва дар ҳаҷми зарурӣ иҷозат аст.</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4.3. Территория использования — весь мир в связи с доступностью интернета. Срок — период, выбранный в индивидуальном подтверждении; если срок не указан, согласие действует до отзыва в отношении будущего использования.</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4.3. Ҳудуди истифода — тамоми ҷаҳон бинобар дастрасии интернет. Муҳлат дар тасдиқи инфиродӣ интихоб мешавад; агар муҳлат нишон дода нашуда бошад, розигӣ нисбат ба истифодаи оянда то бозпасгирӣ амал мекунад.</w:t>
            </w:r>
          </w:p>
        </w:tc>
      </w:tr>
      <w:tr>
        <w:trPr>
          <w:cantSplit/>
        </w:trPr>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5. ВОЗНАГРАЖДЕНИЕ</w:t>
            </w:r>
          </w:p>
        </w:tc>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5. ПОДОШ</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5.1. Основание использования выбирается до подписания: безвозмездно; включено в вознаграждение по договору; либо оплачивается отдельно на условиях письменного приложения.</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5.1. Асоси истифода пеш аз имзо интихоб мешавад: ройгон; ба ҳаққи шартнома дохил аст; ё алоҳида тибқи шартҳои замимаи хаттӣ пардохт мешавад.</w:t>
            </w:r>
          </w:p>
        </w:tc>
      </w:tr>
      <w:tr>
        <w:trPr>
          <w:cantSplit/>
        </w:trPr>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6. ОТЗЫВ И ХРАНЕНИЕ</w:t>
            </w:r>
          </w:p>
        </w:tc>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6. БОЗПАСГИРӢ ВА НИГОҲДОРӢ</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6.1. Согласие можно отозвать письменно для будущего использования. IMKONIYAT прекращает новые публикации и в разумный срок удаляет контролируемые копии, если закон и договор не требуют иного.</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6.1. Розигиро барои истифодаи оянда хаттӣ бозпас гирифтан мумкин аст. IMKONIYAT нашри навро қатъ карда, нусхаҳои таҳти назоратро дар муҳлати оқилона нест мекунад, агар қонун ва шартнома тартиби дигарро талаб накунанд.</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6.2. Материалы, законно опубликованные до отзыва, архивные отчёты, печатные экземпляры и публикации третьих лиц могут сохраняться до технически и юридически возможного удаления.</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6.2. Маводи то бозпасгирӣ қонунан нашршуда, ҳисоботҳои бойгонӣ, нусхаҳои чопӣ ва нашрияҳои шахсони сеюм метавонанд то замони имконпазирии техникӣ ва ҳуқуқии несткунӣ боқӣ монанд.</w:t>
            </w:r>
          </w:p>
        </w:tc>
      </w:tr>
      <w:tr>
        <w:trPr>
          <w:cantSplit/>
        </w:trPr>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7. НЕСОВЕРШЕННОЛЕТНИЙ</w:t>
            </w:r>
          </w:p>
        </w:tc>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7. НОБОЛИҒ</w:t>
            </w:r>
          </w:p>
        </w:tc>
      </w:tr>
      <w:tr>
        <w:trPr>
          <w:cantSplit/>
        </w:trPr>
        <w:tc>
          <w:tcPr>
            <w:tcW w:type="dxa" w:w="5100"/>
            <w:vAlign w:val="center"/>
            <w:tcMar>
              <w:top w:w="105" w:type="dxa"/>
              <w:start w:w="135" w:type="dxa"/>
              <w:bottom w:w="105" w:type="dxa"/>
              <w:end w:w="135" w:type="dxa"/>
            </w:tcMar>
          </w:tcPr>
          <w:p>
            <w:pPr>
              <w:spacing w:before="0" w:after="0" w:line="245" w:lineRule="auto"/>
              <w:jc w:val="left"/>
            </w:pPr>
            <w:r/>
            <w:r>
              <w:rPr>
                <w:rFonts w:ascii="Times New Roman" w:hAnsi="Times New Roman" w:eastAsia="Times New Roman"/>
                <w:b w:val="0"/>
                <w:i w:val="0"/>
                <w:color w:val="111111"/>
                <w:sz w:val="18"/>
              </w:rPr>
              <w:t>Если лицо несовершеннолетнее:</w:t>
              <w:br/>
              <w:t>Ф.И.О. представителя: _______________________</w:t>
              <w:br/>
              <w:t>Основание полномочий: ______________________</w:t>
              <w:br/>
              <w:t>Подпись представителя: _____________________</w:t>
              <w:br/>
              <w:t>Подпись несовершеннолетнего с 14 лет: _______</w:t>
            </w:r>
          </w:p>
        </w:tc>
        <w:tc>
          <w:tcPr>
            <w:tcW w:type="dxa" w:w="5100"/>
            <w:vAlign w:val="center"/>
            <w:tcMar>
              <w:top w:w="105" w:type="dxa"/>
              <w:start w:w="135" w:type="dxa"/>
              <w:bottom w:w="105" w:type="dxa"/>
              <w:end w:w="135" w:type="dxa"/>
            </w:tcMar>
          </w:tcPr>
          <w:p>
            <w:pPr>
              <w:spacing w:before="0" w:after="0" w:line="245" w:lineRule="auto"/>
              <w:jc w:val="left"/>
            </w:pPr>
            <w:r/>
            <w:r>
              <w:rPr>
                <w:rFonts w:ascii="Times New Roman" w:hAnsi="Times New Roman" w:eastAsia="Times New Roman"/>
                <w:b w:val="0"/>
                <w:i w:val="0"/>
                <w:color w:val="111111"/>
                <w:sz w:val="18"/>
              </w:rPr>
              <w:t>Агар шахс ноболиғ бошад:</w:t>
              <w:br/>
              <w:t>Ному насаби намоянда: ______________________</w:t>
              <w:br/>
              <w:t>Асоси ваколат: _____________________________</w:t>
              <w:br/>
              <w:t>Имзои намоянда: ____________________________</w:t>
              <w:br/>
              <w:t>Имзои ноболиғ аз 14-сола: __________________</w:t>
            </w:r>
          </w:p>
        </w:tc>
      </w:tr>
      <w:tr>
        <w:trPr>
          <w:cantSplit/>
        </w:trPr>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8. ПОДПИСЬ</w:t>
            </w:r>
          </w:p>
        </w:tc>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8. ИМЗО</w:t>
            </w:r>
          </w:p>
        </w:tc>
      </w:tr>
      <w:tr>
        <w:trPr>
          <w:cantSplit/>
        </w:trPr>
        <w:tc>
          <w:tcPr>
            <w:tcW w:type="dxa" w:w="5100"/>
            <w:vAlign w:val="center"/>
            <w:tcMar>
              <w:top w:w="105" w:type="dxa"/>
              <w:start w:w="135" w:type="dxa"/>
              <w:bottom w:w="105" w:type="dxa"/>
              <w:end w:w="135" w:type="dxa"/>
            </w:tcMar>
          </w:tcPr>
          <w:p>
            <w:pPr>
              <w:spacing w:before="0" w:after="0" w:line="245" w:lineRule="auto"/>
              <w:jc w:val="left"/>
            </w:pPr>
            <w:r/>
            <w:r>
              <w:rPr>
                <w:rFonts w:ascii="Times New Roman" w:hAnsi="Times New Roman" w:eastAsia="Times New Roman"/>
                <w:b w:val="0"/>
                <w:i w:val="0"/>
                <w:color w:val="111111"/>
                <w:sz w:val="18"/>
              </w:rPr>
              <w:t>Дата: __________________________</w:t>
              <w:br/>
              <w:t>Подпись: __________________ /______________/</w:t>
              <w:br/>
              <w:t>Отзыв согласия направляется через: https://imkoniyat.org</w:t>
            </w:r>
          </w:p>
        </w:tc>
        <w:tc>
          <w:tcPr>
            <w:tcW w:type="dxa" w:w="5100"/>
            <w:vAlign w:val="center"/>
            <w:tcMar>
              <w:top w:w="105" w:type="dxa"/>
              <w:start w:w="135" w:type="dxa"/>
              <w:bottom w:w="105" w:type="dxa"/>
              <w:end w:w="135" w:type="dxa"/>
            </w:tcMar>
          </w:tcPr>
          <w:p>
            <w:pPr>
              <w:spacing w:before="0" w:after="0" w:line="245" w:lineRule="auto"/>
              <w:jc w:val="left"/>
            </w:pPr>
            <w:r/>
            <w:r>
              <w:rPr>
                <w:rFonts w:ascii="Times New Roman" w:hAnsi="Times New Roman" w:eastAsia="Times New Roman"/>
                <w:b w:val="0"/>
                <w:i w:val="0"/>
                <w:color w:val="111111"/>
                <w:sz w:val="18"/>
              </w:rPr>
              <w:t>Сана: _________________________</w:t>
              <w:br/>
              <w:t>Имзо: __________________ /______________/</w:t>
              <w:br/>
              <w:t>Бозпасгирии розигӣ тавассути ин суроға фиристода мешавад: https://imkoniyat.org</w:t>
            </w:r>
          </w:p>
        </w:tc>
      </w:tr>
      <w:tr>
        <w:trPr>
          <w:cantSplit/>
        </w:trPr>
        <w:tc>
          <w:tcPr>
            <w:tcW w:type="dxa" w:w="5100"/>
            <w:vAlign w:val="center"/>
            <w:tcMar>
              <w:top w:w="105" w:type="dxa"/>
              <w:start w:w="135" w:type="dxa"/>
              <w:bottom w:w="105" w:type="dxa"/>
              <w:end w:w="135" w:type="dxa"/>
            </w:tcMar>
            <w:shd w:fill="FFF7E6"/>
          </w:tcPr>
          <w:p>
            <w:pPr>
              <w:spacing w:before="0" w:after="0" w:line="245" w:lineRule="auto"/>
              <w:jc w:val="both"/>
            </w:pPr>
            <w:r/>
            <w:r>
              <w:rPr>
                <w:rFonts w:ascii="Times New Roman" w:hAnsi="Times New Roman" w:eastAsia="Times New Roman"/>
                <w:b/>
                <w:i w:val="0"/>
                <w:color w:val="14213D"/>
                <w:sz w:val="18"/>
              </w:rPr>
              <w:t>Правовая основа: применимое законодательство Республики Таджикистан, включая Гражданский кодекс и законы «О защите прав потребителей», «Об электронной торговле», «Об электронном документе и электронной подписи», «О защите персональных данных», «Об авторском праве и смежных правах», «О защите прав ребёнка» и «Об образовании». Перед публичным запуском отдельно проверяются регистрационный статус проекта, требования к лицензированию образовательной деятельности и обязательные процедуры защиты персональных данных.</w:t>
            </w:r>
          </w:p>
        </w:tc>
        <w:tc>
          <w:tcPr>
            <w:tcW w:type="dxa" w:w="5100"/>
            <w:vAlign w:val="center"/>
            <w:tcMar>
              <w:top w:w="105" w:type="dxa"/>
              <w:start w:w="135" w:type="dxa"/>
              <w:bottom w:w="105" w:type="dxa"/>
              <w:end w:w="135" w:type="dxa"/>
            </w:tcMar>
            <w:shd w:fill="FFF7E6"/>
          </w:tcPr>
          <w:p>
            <w:pPr>
              <w:spacing w:before="0" w:after="0" w:line="245" w:lineRule="auto"/>
              <w:jc w:val="both"/>
            </w:pPr>
            <w:r/>
            <w:r>
              <w:rPr>
                <w:rFonts w:ascii="Times New Roman" w:hAnsi="Times New Roman" w:eastAsia="Times New Roman"/>
                <w:b/>
                <w:i w:val="0"/>
                <w:color w:val="14213D"/>
                <w:sz w:val="18"/>
              </w:rPr>
              <w:t>Асоси ҳуқуқӣ: қонунгузории татбиқшавандаи Ҷумҳурии Тоҷикистон, аз ҷумла Кодекси гражданӣ ва қонунҳо «Дар бораи ҳимояи ҳуқуқи истеъмолкунандагон», «Дар бораи савдои электронӣ», «Дар бораи ҳуҷҷати электронӣ ва имзои электронӣ», «Дар бораи ҳифзи маълумоти шахсӣ», «Дар бораи ҳуқуқи муаллиф ва ҳуқуқҳои вобаста ба он», «Дар бораи ҳифзи ҳуқуқҳои кӯдак» ва «Дар бораи маориф». Пеш аз оғози оммавӣ мақоми бақайдгирии лоиҳа, талаботи иҷозатномадиҳии фаъолияти таълимӣ ва расмиёти ҳатмии ҳифзи маълумоти шахсӣ алоҳида санҷида мешаванд.</w:t>
            </w:r>
          </w:p>
        </w:tc>
      </w:tr>
    </w:tbl>
    <w:sectPr w:rsidR="00FC693F" w:rsidRPr="0006063C" w:rsidSect="00034616">
      <w:headerReference w:type="default" r:id="rId9"/>
      <w:footerReference w:type="default" r:id="rId10"/>
      <w:pgSz w:w="11906" w:h="16838"/>
      <w:pgMar w:top="822" w:right="765" w:bottom="822" w:left="765" w:header="369" w:footer="36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Times New Roman" w:hAnsi="Times New Roman" w:eastAsia="Times New Roman"/>
        <w:b w:val="0"/>
        <w:i w:val="0"/>
        <w:color w:val="14213D"/>
        <w:sz w:val="16"/>
      </w:rPr>
      <w:t xml:space="preserve">IMKONIYAT  •  Страница / Саҳифа </w:t>
    </w:r>
    <w:r>
      <w:fldChar w:fldCharType="begin"/>
      <w:instrText xml:space="preserve">PAGE</w:instrText>
      <w:fldChar w:fldCharType="separate"/>
      <w:t>1</w:t>
      <w:fldChar w:fldCharType="end"/>
    </w:r>
    <w:r>
      <w:rPr>
        <w:rFonts w:ascii="Times New Roman" w:hAnsi="Times New Roman" w:eastAsia="Times New Roman"/>
        <w:b w:val="0"/>
        <w:i w:val="0"/>
        <w:color w:val="14213D"/>
        <w:sz w:val="16"/>
      </w:rPr>
      <w:t xml:space="preserve"> из / аз </w:t>
    </w:r>
    <w:r>
      <w:fldChar w:fldCharType="begin"/>
      <w:instrText xml:space="preserve">NUMPAGES</w:instrText>
      <w:fldChar w:fldCharType="separate"/>
      <w:t>1</w: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60"/>
      <w:jc w:val="right"/>
      <w:pBdr>
        <w:bottom w:val="single" w:sz="10" w:space="4" w:color="FCA311"/>
      </w:pBdr>
    </w:pPr>
    <w:r>
      <w:rPr>
        <w:rFonts w:ascii="Times New Roman" w:hAnsi="Times New Roman" w:eastAsia="Times New Roman"/>
        <w:b/>
        <w:i w:val="0"/>
        <w:color w:val="14213D"/>
        <w:sz w:val="17"/>
      </w:rPr>
      <w:t>IMKONIYAT  |  Юридические документы / Ҳуҷҷатҳои ҳуқуқӣ</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sz w:val="1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IMKONIYAT — СОГЛАСИЕ НА ИСПОЛЬЗОВАНИЕ ИЗОБРАЖЕНИЯ И ГОЛОСА / РОЗИГӢ БА ИСТИФОДАИ ТАСВИР ВА ОВОЗ</dc:title>
  <dc:subject>Финальная двуязычная редакция для пилотной версии IMKONIYAT 1.1</dc:subject>
  <dc:creator>IMKONIYAT</dc:creator>
  <cp:keywords/>
  <dc:description>generated by python-docx</dc:description>
  <cp:lastModifiedBy/>
  <cp:revision>1</cp:revision>
  <dcterms:created xsi:type="dcterms:W3CDTF">2013-12-23T23:15:00Z</dcterms:created>
  <dcterms:modified xsi:type="dcterms:W3CDTF">2013-12-23T23:15:00Z</dcterms:modified>
  <cp:category/>
</cp:coreProperties>
</file>